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C87B" w14:textId="77777777" w:rsidR="00BD6F91" w:rsidRDefault="00A10C21" w:rsidP="00DD37EB">
      <w:pPr>
        <w:spacing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Le secteur de la construction en campagne auprès des jeunes pour susciter de nouvelles vocations !</w:t>
      </w:r>
    </w:p>
    <w:p w14:paraId="1849E67C" w14:textId="77777777" w:rsidR="00BD6F91" w:rsidRDefault="00BD6F91" w:rsidP="00DD37EB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5793E6BC" w14:textId="48B592E7" w:rsidR="00BD6F91" w:rsidRDefault="00A10C21" w:rsidP="00DD37E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La Construction, la vivre c’est encore mieux… </w:t>
      </w:r>
      <w:r w:rsidR="003054D0" w:rsidRPr="003054D0">
        <w:rPr>
          <w:rFonts w:ascii="Calibri" w:eastAsia="Calibri" w:hAnsi="Calibri" w:cs="Calibri"/>
          <w:b/>
        </w:rPr>
        <w:t>Pour le faire savoir,</w:t>
      </w:r>
      <w:r w:rsidR="00D96C40">
        <w:rPr>
          <w:rFonts w:ascii="Calibri" w:eastAsia="Calibri" w:hAnsi="Calibri" w:cs="Calibri"/>
          <w:b/>
        </w:rPr>
        <w:t xml:space="preserve"> à l’initiative des </w:t>
      </w:r>
      <w:r w:rsidR="003054D0" w:rsidRPr="003054D0">
        <w:rPr>
          <w:rFonts w:ascii="Calibri" w:eastAsia="Calibri" w:hAnsi="Calibri" w:cs="Calibri"/>
          <w:b/>
        </w:rPr>
        <w:t xml:space="preserve">professionnels </w:t>
      </w:r>
      <w:r w:rsidR="00DD37EB">
        <w:rPr>
          <w:rFonts w:ascii="Calibri" w:eastAsia="Calibri" w:hAnsi="Calibri" w:cs="Calibri"/>
          <w:b/>
        </w:rPr>
        <w:t>du bâtiment et des travaux publics</w:t>
      </w:r>
      <w:r w:rsidR="003054D0" w:rsidRPr="003054D0">
        <w:rPr>
          <w:rFonts w:ascii="Calibri" w:eastAsia="Calibri" w:hAnsi="Calibri" w:cs="Calibri"/>
          <w:b/>
        </w:rPr>
        <w:t xml:space="preserve">, </w:t>
      </w:r>
      <w:r w:rsidR="00D96C40">
        <w:rPr>
          <w:rFonts w:ascii="Calibri" w:eastAsia="Calibri" w:hAnsi="Calibri" w:cs="Calibri"/>
          <w:b/>
        </w:rPr>
        <w:t xml:space="preserve">le CCCA-BTP organise la campagne </w:t>
      </w:r>
      <w:r w:rsidR="003054D0" w:rsidRPr="003054D0">
        <w:rPr>
          <w:rFonts w:ascii="Calibri" w:eastAsia="Calibri" w:hAnsi="Calibri" w:cs="Calibri"/>
          <w:b/>
        </w:rPr>
        <w:t>« La Construction</w:t>
      </w:r>
      <w:r w:rsidR="00DD37EB">
        <w:rPr>
          <w:rFonts w:ascii="Calibri" w:eastAsia="Calibri" w:hAnsi="Calibri" w:cs="Calibri"/>
          <w:b/>
        </w:rPr>
        <w:t> »</w:t>
      </w:r>
      <w:r w:rsidR="00D96C40">
        <w:rPr>
          <w:rFonts w:ascii="Calibri" w:eastAsia="Calibri" w:hAnsi="Calibri" w:cs="Calibri"/>
          <w:b/>
        </w:rPr>
        <w:t>,</w:t>
      </w:r>
      <w:r w:rsidR="003054D0" w:rsidRPr="003054D0">
        <w:rPr>
          <w:rFonts w:ascii="Calibri" w:eastAsia="Calibri" w:hAnsi="Calibri" w:cs="Calibri"/>
          <w:b/>
        </w:rPr>
        <w:t xml:space="preserve"> pour faire découvrir la </w:t>
      </w:r>
      <w:r w:rsidR="00DD37EB">
        <w:rPr>
          <w:rFonts w:ascii="Calibri" w:eastAsia="Calibri" w:hAnsi="Calibri" w:cs="Calibri"/>
          <w:b/>
        </w:rPr>
        <w:t xml:space="preserve">richesse et la </w:t>
      </w:r>
      <w:r w:rsidR="003054D0" w:rsidRPr="003054D0">
        <w:rPr>
          <w:rFonts w:ascii="Calibri" w:eastAsia="Calibri" w:hAnsi="Calibri" w:cs="Calibri"/>
          <w:b/>
        </w:rPr>
        <w:t>diversité des métiers du bâtiment et des travaux publics auprès des jeunes et l’apprentissage pour s’y former.</w:t>
      </w:r>
    </w:p>
    <w:p w14:paraId="1B8E918E" w14:textId="63776F1D" w:rsidR="00DD37EB" w:rsidRDefault="00DD37EB" w:rsidP="00DD37EB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79824E28" w14:textId="176DD234" w:rsidR="00B85C2C" w:rsidRPr="00B85C2C" w:rsidRDefault="00B85C2C" w:rsidP="00DD37EB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B85C2C">
        <w:rPr>
          <w:rFonts w:ascii="Calibri" w:eastAsia="Calibri" w:hAnsi="Calibri" w:cs="Calibri"/>
          <w:b/>
          <w:sz w:val="24"/>
          <w:szCs w:val="24"/>
        </w:rPr>
        <w:t>Un casting de jeunes professionnels pour faire découvrir les métiers de la construction</w:t>
      </w:r>
    </w:p>
    <w:p w14:paraId="618CBA4E" w14:textId="77777777" w:rsidR="00B85C2C" w:rsidRDefault="00B85C2C" w:rsidP="00DD37EB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0F6337E8" w14:textId="4F7919CC" w:rsidR="00180CE8" w:rsidRDefault="00180CE8" w:rsidP="00180CE8">
      <w:pPr>
        <w:spacing w:line="240" w:lineRule="auto"/>
        <w:jc w:val="both"/>
        <w:rPr>
          <w:rFonts w:ascii="Calibri" w:eastAsia="Calibri" w:hAnsi="Calibri" w:cs="Calibri"/>
          <w:bCs/>
        </w:rPr>
      </w:pPr>
      <w:r w:rsidRPr="00B85C2C">
        <w:rPr>
          <w:rFonts w:ascii="Calibri" w:eastAsia="Calibri" w:hAnsi="Calibri" w:cs="Calibri"/>
          <w:bCs/>
        </w:rPr>
        <w:t>Les métiers de la construction sont des métiers techniques, innovants</w:t>
      </w:r>
      <w:r w:rsidR="00B6140B">
        <w:rPr>
          <w:rFonts w:ascii="Calibri" w:eastAsia="Calibri" w:hAnsi="Calibri" w:cs="Calibri"/>
          <w:bCs/>
        </w:rPr>
        <w:t>, qui répondent aux enjeux environnementaux</w:t>
      </w:r>
      <w:r w:rsidRPr="00B85C2C">
        <w:rPr>
          <w:rFonts w:ascii="Calibri" w:eastAsia="Calibri" w:hAnsi="Calibri" w:cs="Calibri"/>
          <w:bCs/>
        </w:rPr>
        <w:t xml:space="preserve">… </w:t>
      </w:r>
      <w:r>
        <w:rPr>
          <w:rFonts w:ascii="Calibri" w:eastAsia="Calibri" w:hAnsi="Calibri" w:cs="Calibri"/>
          <w:bCs/>
        </w:rPr>
        <w:t xml:space="preserve">Pour susciter de nouvelles vocations </w:t>
      </w:r>
      <w:r w:rsidR="00B6140B">
        <w:rPr>
          <w:rFonts w:ascii="Calibri" w:eastAsia="Calibri" w:hAnsi="Calibri" w:cs="Calibri"/>
          <w:bCs/>
        </w:rPr>
        <w:t xml:space="preserve">auprès des </w:t>
      </w:r>
      <w:r>
        <w:rPr>
          <w:rFonts w:ascii="Calibri" w:eastAsia="Calibri" w:hAnsi="Calibri" w:cs="Calibri"/>
          <w:bCs/>
        </w:rPr>
        <w:t xml:space="preserve">jeunes en recherche d’une orientation professionnelle, </w:t>
      </w:r>
      <w:r w:rsidRPr="00DD37EB">
        <w:rPr>
          <w:rFonts w:ascii="Calibri" w:eastAsia="Calibri" w:hAnsi="Calibri" w:cs="Calibri"/>
          <w:bCs/>
        </w:rPr>
        <w:t xml:space="preserve">la campagne </w:t>
      </w:r>
      <w:r>
        <w:rPr>
          <w:rFonts w:ascii="Calibri" w:eastAsia="Calibri" w:hAnsi="Calibri" w:cs="Calibri"/>
          <w:bCs/>
        </w:rPr>
        <w:t xml:space="preserve">« La Construction » </w:t>
      </w:r>
      <w:r w:rsidRPr="00DD37EB">
        <w:rPr>
          <w:rFonts w:ascii="Calibri" w:eastAsia="Calibri" w:hAnsi="Calibri" w:cs="Calibri"/>
          <w:bCs/>
        </w:rPr>
        <w:t xml:space="preserve">est incarnée par six jeunes professionnels du bâtiment et des travaux publics. </w:t>
      </w:r>
      <w:r w:rsidR="00A10C21" w:rsidRPr="00DD37EB">
        <w:rPr>
          <w:rFonts w:ascii="Calibri" w:eastAsia="Calibri" w:hAnsi="Calibri" w:cs="Calibri"/>
          <w:bCs/>
        </w:rPr>
        <w:t>Ils sont les meilleurs ambassadeurs pour promouvoir</w:t>
      </w:r>
      <w:r w:rsidR="00A10C21">
        <w:rPr>
          <w:rFonts w:ascii="Calibri" w:eastAsia="Calibri" w:hAnsi="Calibri" w:cs="Calibri"/>
          <w:bCs/>
        </w:rPr>
        <w:t xml:space="preserve"> les métiers du BTP et les atouts d’un secteur dynamique, qui offre à chaque talent la garantie d’un emploi qualifié et de nombreuses perspectives d’évolution et de carrière</w:t>
      </w:r>
      <w:r w:rsidR="00A10C21" w:rsidRPr="00DD37EB">
        <w:rPr>
          <w:rFonts w:ascii="Calibri" w:eastAsia="Calibri" w:hAnsi="Calibri" w:cs="Calibri"/>
          <w:bCs/>
        </w:rPr>
        <w:t>.</w:t>
      </w:r>
    </w:p>
    <w:p w14:paraId="1F78D467" w14:textId="356067F3" w:rsidR="00180CE8" w:rsidRDefault="00180CE8" w:rsidP="00180CE8">
      <w:pPr>
        <w:spacing w:line="240" w:lineRule="auto"/>
        <w:jc w:val="both"/>
        <w:rPr>
          <w:rFonts w:ascii="Calibri" w:eastAsia="Calibri" w:hAnsi="Calibri" w:cs="Calibri"/>
          <w:bCs/>
        </w:rPr>
      </w:pPr>
    </w:p>
    <w:p w14:paraId="6AB5745A" w14:textId="73ADF639" w:rsidR="00A10C21" w:rsidRDefault="00B6140B" w:rsidP="00A10C21">
      <w:pPr>
        <w:spacing w:line="240" w:lineRule="auto"/>
        <w:jc w:val="both"/>
        <w:rPr>
          <w:rFonts w:ascii="Calibri" w:eastAsia="Calibri" w:hAnsi="Calibri" w:cs="Calibri"/>
          <w:bCs/>
        </w:rPr>
      </w:pPr>
      <w:r w:rsidRPr="00DD37EB">
        <w:rPr>
          <w:rFonts w:ascii="Calibri" w:eastAsia="Calibri" w:hAnsi="Calibri" w:cs="Calibri"/>
          <w:bCs/>
        </w:rPr>
        <w:t xml:space="preserve">Avec pour signature « La Construction, la vivre c’est encore mieux ! », la campagne propose de découvrir, en immersion, le quotidien de ces professionnels de moins de 30 ans (apprentis, salariés, chefs d’entreprise). </w:t>
      </w:r>
    </w:p>
    <w:p w14:paraId="3AB01004" w14:textId="77777777" w:rsidR="00180CE8" w:rsidRDefault="00180CE8" w:rsidP="00180CE8">
      <w:pPr>
        <w:spacing w:line="240" w:lineRule="auto"/>
        <w:jc w:val="both"/>
        <w:rPr>
          <w:rFonts w:ascii="Calibri" w:eastAsia="Calibri" w:hAnsi="Calibri" w:cs="Calibri"/>
          <w:bCs/>
        </w:rPr>
      </w:pPr>
    </w:p>
    <w:p w14:paraId="29747E91" w14:textId="27F24AE9" w:rsidR="00B85C2C" w:rsidRPr="00B85C2C" w:rsidRDefault="00B85C2C" w:rsidP="00DD37EB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B85C2C">
        <w:rPr>
          <w:rFonts w:ascii="Calibri" w:eastAsia="Calibri" w:hAnsi="Calibri" w:cs="Calibri"/>
          <w:b/>
          <w:sz w:val="24"/>
          <w:szCs w:val="24"/>
        </w:rPr>
        <w:t>Un dispositif de communication à la hauteur des ambitions de la campagne</w:t>
      </w:r>
    </w:p>
    <w:p w14:paraId="310161A3" w14:textId="77777777" w:rsidR="00B85C2C" w:rsidRPr="00DD37EB" w:rsidRDefault="00B85C2C" w:rsidP="00DD37EB">
      <w:pPr>
        <w:spacing w:line="240" w:lineRule="auto"/>
        <w:jc w:val="both"/>
        <w:rPr>
          <w:rFonts w:ascii="Calibri" w:eastAsia="Calibri" w:hAnsi="Calibri" w:cs="Calibri"/>
          <w:bCs/>
        </w:rPr>
      </w:pPr>
    </w:p>
    <w:p w14:paraId="5CC4FAFD" w14:textId="690A45A1" w:rsidR="00DD37EB" w:rsidRDefault="00DD37EB" w:rsidP="00DD37EB">
      <w:pPr>
        <w:spacing w:line="240" w:lineRule="auto"/>
        <w:jc w:val="both"/>
        <w:rPr>
          <w:rFonts w:ascii="Calibri" w:eastAsia="Calibri" w:hAnsi="Calibri" w:cs="Calibri"/>
          <w:bCs/>
        </w:rPr>
      </w:pPr>
      <w:r w:rsidRPr="00DD37EB">
        <w:rPr>
          <w:rFonts w:ascii="Calibri" w:eastAsia="Calibri" w:hAnsi="Calibri" w:cs="Calibri"/>
          <w:bCs/>
        </w:rPr>
        <w:t>Le dispositif de communication pluri média mis en place est à la hauteur des ambitions de la campagne</w:t>
      </w:r>
      <w:r w:rsidR="00B20A0E">
        <w:rPr>
          <w:rFonts w:ascii="Calibri" w:eastAsia="Calibri" w:hAnsi="Calibri" w:cs="Calibri"/>
          <w:bCs/>
        </w:rPr>
        <w:t> </w:t>
      </w:r>
      <w:r w:rsidRPr="00DD37EB">
        <w:rPr>
          <w:rFonts w:ascii="Calibri" w:eastAsia="Calibri" w:hAnsi="Calibri" w:cs="Calibri"/>
          <w:bCs/>
        </w:rPr>
        <w:t>: une série documentaire, intitulée « Sans filtres », qui embarque le public au cœur de l’action, aux côtés des professionnels de la construction, diffusée sur internet et les réseaux sociaux ; six films publicitaires diffusés à la télévision (TF1, M6, TFX…) ; un site internet ; des partenariats médias digitaux avec Brut et Konbini ; une présence sur des plateformes d’écoute (Deezer, Spotify, NRJ, Skyrock…) ; un plan média sur les réseaux sociaux et internet ; des partenariats avec des influenceurs, dont des professeurs ; un module de découverte de l’ensemble des métiers du BTP accessible en ligne et un escape game pour animer de façon ludique des séquences de découverte métiers</w:t>
      </w:r>
      <w:r w:rsidR="00A10C21">
        <w:rPr>
          <w:rFonts w:ascii="Calibri" w:eastAsia="Calibri" w:hAnsi="Calibri" w:cs="Calibri"/>
          <w:bCs/>
        </w:rPr>
        <w:t>.</w:t>
      </w:r>
    </w:p>
    <w:p w14:paraId="34CD8DBB" w14:textId="4CC31C12" w:rsidR="00A10C21" w:rsidRDefault="00A10C21" w:rsidP="00DD37EB">
      <w:pPr>
        <w:spacing w:line="240" w:lineRule="auto"/>
        <w:jc w:val="both"/>
        <w:rPr>
          <w:rFonts w:ascii="Calibri" w:eastAsia="Calibri" w:hAnsi="Calibri" w:cs="Calibri"/>
          <w:bCs/>
        </w:rPr>
      </w:pPr>
    </w:p>
    <w:p w14:paraId="6F7268D6" w14:textId="77777777" w:rsidR="00A10C21" w:rsidRDefault="00A10C21" w:rsidP="00DD37EB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Pour découvrir la campagne « La Construction », rendez-vous sur :</w:t>
      </w:r>
    </w:p>
    <w:p w14:paraId="4A84F56E" w14:textId="132CCC50" w:rsidR="00BD6F91" w:rsidRDefault="00B20A0E" w:rsidP="00DD37EB">
      <w:pPr>
        <w:widowControl w:val="0"/>
        <w:spacing w:line="240" w:lineRule="auto"/>
        <w:jc w:val="both"/>
        <w:rPr>
          <w:rFonts w:ascii="Calibri" w:eastAsia="Calibri" w:hAnsi="Calibri" w:cs="Calibri"/>
          <w:color w:val="0000FF"/>
          <w:u w:val="single"/>
        </w:rPr>
      </w:pPr>
      <w:hyperlink r:id="rId7" w:history="1">
        <w:r w:rsidR="00A10C21" w:rsidRPr="00D1409B">
          <w:rPr>
            <w:rStyle w:val="Lienhypertexte"/>
            <w:rFonts w:ascii="Calibri" w:eastAsia="Calibri" w:hAnsi="Calibri" w:cs="Calibri"/>
          </w:rPr>
          <w:t>www.laconstruction.fr</w:t>
        </w:r>
      </w:hyperlink>
    </w:p>
    <w:p w14:paraId="69C851ED" w14:textId="50CDF250" w:rsidR="00BD6F91" w:rsidRDefault="00A10C21" w:rsidP="00DD37EB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Facebook @laconstructionofficiel</w:t>
      </w:r>
    </w:p>
    <w:p w14:paraId="44FBF08D" w14:textId="77777777" w:rsidR="00BD6F91" w:rsidRDefault="00A10C21" w:rsidP="00DD37EB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Instagram @la_construction_officiel</w:t>
      </w:r>
    </w:p>
    <w:p w14:paraId="104829F1" w14:textId="77777777" w:rsidR="00BD6F91" w:rsidRPr="00B20A0E" w:rsidRDefault="00A10C21" w:rsidP="00DD37EB">
      <w:pPr>
        <w:widowControl w:val="0"/>
        <w:spacing w:line="240" w:lineRule="auto"/>
        <w:jc w:val="both"/>
        <w:rPr>
          <w:rFonts w:ascii="Calibri" w:eastAsia="Calibri" w:hAnsi="Calibri" w:cs="Calibri"/>
          <w:lang w:val="en-US"/>
        </w:rPr>
      </w:pPr>
      <w:r w:rsidRPr="00B20A0E">
        <w:rPr>
          <w:rFonts w:ascii="Calibri" w:eastAsia="Calibri" w:hAnsi="Calibri" w:cs="Calibri"/>
          <w:lang w:val="en-US"/>
        </w:rPr>
        <w:t>TikTok @la_construction_officiel</w:t>
      </w:r>
    </w:p>
    <w:p w14:paraId="3B7DB86D" w14:textId="77777777" w:rsidR="00BD6F91" w:rsidRPr="00B20A0E" w:rsidRDefault="00A10C21" w:rsidP="00DD37EB">
      <w:pPr>
        <w:widowControl w:val="0"/>
        <w:spacing w:line="240" w:lineRule="auto"/>
        <w:jc w:val="both"/>
        <w:rPr>
          <w:rFonts w:ascii="Calibri" w:eastAsia="Calibri" w:hAnsi="Calibri" w:cs="Calibri"/>
          <w:lang w:val="en-US"/>
        </w:rPr>
      </w:pPr>
      <w:r w:rsidRPr="00B20A0E">
        <w:rPr>
          <w:rFonts w:ascii="Calibri" w:eastAsia="Calibri" w:hAnsi="Calibri" w:cs="Calibri"/>
          <w:lang w:val="en-US"/>
        </w:rPr>
        <w:t>YouTube @la_construction_officiel</w:t>
      </w:r>
    </w:p>
    <w:sectPr w:rsidR="00BD6F91" w:rsidRPr="00B20A0E" w:rsidSect="00A10C21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851" w:right="1418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FA91" w14:textId="77777777" w:rsidR="00FE3AEF" w:rsidRDefault="00A10C21">
      <w:pPr>
        <w:spacing w:line="240" w:lineRule="auto"/>
      </w:pPr>
      <w:r>
        <w:separator/>
      </w:r>
    </w:p>
  </w:endnote>
  <w:endnote w:type="continuationSeparator" w:id="0">
    <w:p w14:paraId="79284C68" w14:textId="77777777" w:rsidR="00FE3AEF" w:rsidRDefault="00A10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21AC" w14:textId="0C178744" w:rsidR="00BD6F91" w:rsidRDefault="00A10C21">
    <w:pPr>
      <w:rPr>
        <w:color w:val="00A4C4"/>
        <w:sz w:val="16"/>
        <w:szCs w:val="16"/>
      </w:rPr>
    </w:pPr>
    <w:r>
      <w:rPr>
        <w:color w:val="00A4C4"/>
        <w:sz w:val="16"/>
        <w:szCs w:val="16"/>
      </w:rPr>
      <w:t>PARTIES PRENANTES</w:t>
    </w:r>
    <w:r>
      <w:rPr>
        <w:color w:val="00A4C4"/>
        <w:sz w:val="16"/>
        <w:szCs w:val="16"/>
      </w:rPr>
      <w:tab/>
    </w:r>
    <w:r>
      <w:rPr>
        <w:color w:val="00A4C4"/>
        <w:sz w:val="16"/>
        <w:szCs w:val="16"/>
      </w:rPr>
      <w:tab/>
    </w:r>
    <w:r>
      <w:rPr>
        <w:color w:val="00A4C4"/>
        <w:sz w:val="16"/>
        <w:szCs w:val="16"/>
      </w:rPr>
      <w:tab/>
    </w:r>
    <w:r>
      <w:rPr>
        <w:color w:val="00A4C4"/>
        <w:sz w:val="16"/>
        <w:szCs w:val="16"/>
      </w:rPr>
      <w:tab/>
    </w:r>
    <w:r>
      <w:rPr>
        <w:color w:val="00A4C4"/>
        <w:sz w:val="16"/>
        <w:szCs w:val="16"/>
      </w:rPr>
      <w:tab/>
    </w:r>
    <w:r>
      <w:rPr>
        <w:color w:val="00A4C4"/>
        <w:sz w:val="16"/>
        <w:szCs w:val="16"/>
      </w:rPr>
      <w:tab/>
    </w:r>
    <w:r>
      <w:rPr>
        <w:color w:val="00A4C4"/>
        <w:sz w:val="16"/>
        <w:szCs w:val="16"/>
      </w:rPr>
      <w:tab/>
    </w:r>
    <w:r>
      <w:rPr>
        <w:color w:val="00A4C4"/>
        <w:sz w:val="16"/>
        <w:szCs w:val="16"/>
      </w:rPr>
      <w:tab/>
    </w:r>
    <w:r>
      <w:rPr>
        <w:color w:val="00A4C4"/>
        <w:sz w:val="16"/>
        <w:szCs w:val="16"/>
      </w:rPr>
      <w:tab/>
    </w:r>
    <w:r>
      <w:rPr>
        <w:color w:val="00A4C4"/>
        <w:sz w:val="16"/>
        <w:szCs w:val="16"/>
      </w:rPr>
      <w:tab/>
      <w:t>p.</w:t>
    </w:r>
    <w:r>
      <w:rPr>
        <w:color w:val="00A4C4"/>
        <w:sz w:val="16"/>
        <w:szCs w:val="16"/>
      </w:rPr>
      <w:fldChar w:fldCharType="begin"/>
    </w:r>
    <w:r>
      <w:rPr>
        <w:color w:val="00A4C4"/>
        <w:sz w:val="16"/>
        <w:szCs w:val="16"/>
      </w:rPr>
      <w:instrText>PAGE</w:instrText>
    </w:r>
    <w:r>
      <w:rPr>
        <w:color w:val="00A4C4"/>
        <w:sz w:val="16"/>
        <w:szCs w:val="16"/>
      </w:rPr>
      <w:fldChar w:fldCharType="separate"/>
    </w:r>
    <w:r w:rsidR="00DD37EB">
      <w:rPr>
        <w:noProof/>
        <w:color w:val="00A4C4"/>
        <w:sz w:val="16"/>
        <w:szCs w:val="16"/>
      </w:rPr>
      <w:t>2</w:t>
    </w:r>
    <w:r>
      <w:rPr>
        <w:color w:val="00A4C4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358A" w14:textId="77777777" w:rsidR="00BD6F91" w:rsidRDefault="00BD6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8F813" w14:textId="77777777" w:rsidR="00FE3AEF" w:rsidRDefault="00A10C21">
      <w:pPr>
        <w:spacing w:line="240" w:lineRule="auto"/>
      </w:pPr>
      <w:r>
        <w:separator/>
      </w:r>
    </w:p>
  </w:footnote>
  <w:footnote w:type="continuationSeparator" w:id="0">
    <w:p w14:paraId="7B264839" w14:textId="77777777" w:rsidR="00FE3AEF" w:rsidRDefault="00A10C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BC4AD" w14:textId="77777777" w:rsidR="00BD6F91" w:rsidRDefault="00A10C21">
    <w:pPr>
      <w:jc w:val="right"/>
    </w:pPr>
    <w:r>
      <w:rPr>
        <w:noProof/>
      </w:rPr>
      <w:drawing>
        <wp:inline distT="114300" distB="114300" distL="114300" distR="114300" wp14:anchorId="3A426414" wp14:editId="200637BF">
          <wp:extent cx="909638" cy="24895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9638" cy="248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5415" w14:textId="77777777" w:rsidR="00BD6F91" w:rsidRDefault="00BD6F9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B37CA"/>
    <w:multiLevelType w:val="multilevel"/>
    <w:tmpl w:val="127467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8438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F91"/>
    <w:rsid w:val="000251A9"/>
    <w:rsid w:val="00180CE8"/>
    <w:rsid w:val="003054D0"/>
    <w:rsid w:val="00A10C21"/>
    <w:rsid w:val="00B20A0E"/>
    <w:rsid w:val="00B6140B"/>
    <w:rsid w:val="00B85C2C"/>
    <w:rsid w:val="00BD6F91"/>
    <w:rsid w:val="00C3714A"/>
    <w:rsid w:val="00D96C40"/>
    <w:rsid w:val="00DD37EB"/>
    <w:rsid w:val="00F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A28C"/>
  <w15:docId w15:val="{4D3C5524-7DFD-413C-9EA1-91E38201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b/>
      <w:color w:val="00A4C4"/>
      <w:sz w:val="36"/>
      <w:szCs w:val="36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b/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A10C2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0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construction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MONERIE Floriane</dc:creator>
  <cp:lastModifiedBy>MONERIE Floriane</cp:lastModifiedBy>
  <cp:revision>3</cp:revision>
  <dcterms:created xsi:type="dcterms:W3CDTF">2023-01-27T18:45:00Z</dcterms:created>
  <dcterms:modified xsi:type="dcterms:W3CDTF">2023-01-27T18:48:00Z</dcterms:modified>
</cp:coreProperties>
</file>